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9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727"/>
        <w:gridCol w:w="2163"/>
        <w:gridCol w:w="1950"/>
        <w:gridCol w:w="1853"/>
        <w:gridCol w:w="1840"/>
        <w:gridCol w:w="3367"/>
      </w:tblGrid>
      <w:tr w:rsidR="00D019A6" w:rsidRPr="00A7337A" w:rsidTr="005E0A4F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966"/>
          </w:tcPr>
          <w:p w:rsidR="00D019A6" w:rsidRPr="00647EED" w:rsidRDefault="007148C5" w:rsidP="00CA0DB5">
            <w:pPr>
              <w:pageBreakBefore/>
              <w:spacing w:before="100" w:beforeAutospacing="1" w:after="119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AREA GENERALE</w:t>
            </w:r>
            <w:bookmarkStart w:id="0" w:name="_GoBack"/>
            <w:bookmarkEnd w:id="0"/>
            <w:r w:rsidR="00501BA7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</w:t>
            </w:r>
            <w:r w:rsidR="00647EED" w:rsidRPr="00647EED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 </w:t>
            </w:r>
            <w:r w:rsidR="00D019A6" w:rsidRPr="00647EED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9</w:t>
            </w:r>
          </w:p>
        </w:tc>
        <w:tc>
          <w:tcPr>
            <w:tcW w:w="1117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D966"/>
          </w:tcPr>
          <w:p w:rsidR="00D019A6" w:rsidRPr="00CA0DB5" w:rsidRDefault="00D019A6" w:rsidP="00CA0DB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sz w:val="24"/>
                <w:szCs w:val="24"/>
                <w:lang w:eastAsia="it-IT"/>
              </w:rPr>
              <w:t>PIANIFICAZIONE URBANISTICA</w:t>
            </w:r>
          </w:p>
          <w:p w:rsidR="00D019A6" w:rsidRPr="00CA0DB5" w:rsidRDefault="00D019A6" w:rsidP="00CA0DB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SETTORE TECNICO</w:t>
            </w:r>
          </w:p>
        </w:tc>
      </w:tr>
      <w:tr w:rsidR="00D019A6" w:rsidRPr="00A7337A" w:rsidTr="006C6D0D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Processi e procedimenti rilevanti </w:t>
            </w:r>
          </w:p>
        </w:tc>
        <w:tc>
          <w:tcPr>
            <w:tcW w:w="21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Individuazione fattori di rischio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Anomalie significative</w:t>
            </w:r>
          </w:p>
        </w:tc>
        <w:tc>
          <w:tcPr>
            <w:tcW w:w="1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Indicatori </w:t>
            </w: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Misure di prevenzione</w:t>
            </w:r>
          </w:p>
        </w:tc>
        <w:tc>
          <w:tcPr>
            <w:tcW w:w="3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Eventuale tempistica per attuazione delle misure </w:t>
            </w:r>
          </w:p>
        </w:tc>
      </w:tr>
      <w:tr w:rsidR="00D019A6" w:rsidRPr="00A7337A" w:rsidTr="006C6D0D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E83A7C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E83A7C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Conferimento incarichi per attività di pianificazione, sia generale che attuativa  </w:t>
            </w:r>
          </w:p>
        </w:tc>
        <w:tc>
          <w:tcPr>
            <w:tcW w:w="21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Favoritismi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Situazioni di incompatibilità e/o di conflitto di interesse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Ingerenza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Rischio di perseguire interessi particolari e non generali</w:t>
            </w: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Eccessiva frammentazione degli incarichi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Scelte incoerenti con precedenti atti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Ricorso a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numerose varianti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Insussistenza / carenza di motivazione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Illogicità delle scelte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Impugnazioni e ricorsi</w:t>
            </w: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Istituzione di appositi albi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Acquisizione curricula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Rotazione degli incarichi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Pubblicazione ai sensi dell’art.39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D.Lgs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33/2013 e successive modificazioni su amministrazione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trasparente  </w:t>
            </w:r>
          </w:p>
        </w:tc>
        <w:tc>
          <w:tcPr>
            <w:tcW w:w="3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>Istituzione albo entro il 2018 per incarichi di importo inferiore a 40.000 euro</w:t>
            </w:r>
          </w:p>
        </w:tc>
      </w:tr>
      <w:tr w:rsidR="00D019A6" w:rsidRPr="00A7337A" w:rsidTr="006C6D0D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E83A7C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E83A7C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lastRenderedPageBreak/>
              <w:t xml:space="preserve">Varianti urbanistiche </w:t>
            </w:r>
          </w:p>
        </w:tc>
        <w:tc>
          <w:tcPr>
            <w:tcW w:w="21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E83A7C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Rischio di perseguire interessi particolari e non generali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E83A7C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Eccessiva frammentazione degli incarichi</w:t>
            </w:r>
          </w:p>
          <w:p w:rsidR="00D019A6" w:rsidRDefault="00D019A6" w:rsidP="00E83A7C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Scelte incoerenti con precedenti atti</w:t>
            </w:r>
          </w:p>
          <w:p w:rsidR="00D019A6" w:rsidRDefault="00D019A6" w:rsidP="00E83A7C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Ricorso a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numerose varianti</w:t>
            </w: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Illogicità delle scelte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 rapporto ad atti precedenti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Default="00D019A6" w:rsidP="00E83A7C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Insussistenza / carenza di motivazione </w:t>
            </w: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Verifica sussistenza della necessità delle varianti per il conseguimento dell’interesse generale </w:t>
            </w:r>
          </w:p>
        </w:tc>
        <w:tc>
          <w:tcPr>
            <w:tcW w:w="3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D019A6" w:rsidRPr="00A7337A" w:rsidTr="006C6D0D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5E0A4F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5E0A4F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Edilizia convenzionata </w:t>
            </w:r>
          </w:p>
          <w:p w:rsidR="00D019A6" w:rsidRPr="00CA0DB5" w:rsidRDefault="00647EED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e</w:t>
            </w:r>
            <w:r w:rsidR="00D019A6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</w:t>
            </w:r>
            <w:r w:rsidR="00D019A6" w:rsidRPr="005E0A4F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lottizzazioni ad iniziativa privata</w:t>
            </w:r>
          </w:p>
        </w:tc>
        <w:tc>
          <w:tcPr>
            <w:tcW w:w="21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Prevalenza degli interessi privati su quelli pubblici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Disparità di trattamento</w:t>
            </w: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Insuf</w:t>
            </w:r>
            <w:r w:rsidR="008E5A63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ficienti stime sui costi degli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interventi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Difficoltà nella realizzazione degli interventi neri tempi concordati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Assenza di provvedimenti sanzionatori</w:t>
            </w:r>
          </w:p>
        </w:tc>
        <w:tc>
          <w:tcPr>
            <w:tcW w:w="1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Irragionevolezza delle scelte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Eccessiva dilatazione dei tempi di realizzazione degli interventi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Presenza di norme ad hoc nelle convenzioni stipulate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Assenza di monitoraggi periodici sull’andamento degli interventi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Richieste di variante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Adozione di modelli standard di convenzioni urbanistiche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Determinazione e pubblicazione costi oneri di urbanizzazione primaria e secondaria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Uniformità di valutazione nel caso di ricorso alla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monetizzazione in luogo della cessione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Inserimento di clausole </w:t>
            </w:r>
          </w:p>
        </w:tc>
        <w:tc>
          <w:tcPr>
            <w:tcW w:w="3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Adozione di convenzioni standard entro il 2018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Determinazione di parametri di stima del costo delle opere</w:t>
            </w:r>
          </w:p>
        </w:tc>
      </w:tr>
    </w:tbl>
    <w:p w:rsidR="00D019A6" w:rsidRDefault="00D019A6"/>
    <w:sectPr w:rsidR="00D019A6" w:rsidSect="00CA0DB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DB5"/>
    <w:rsid w:val="00007D3A"/>
    <w:rsid w:val="002C1770"/>
    <w:rsid w:val="00402F7E"/>
    <w:rsid w:val="004556CD"/>
    <w:rsid w:val="00460648"/>
    <w:rsid w:val="004F393F"/>
    <w:rsid w:val="00501BA7"/>
    <w:rsid w:val="005E0A4F"/>
    <w:rsid w:val="005E1630"/>
    <w:rsid w:val="005F4997"/>
    <w:rsid w:val="00647EED"/>
    <w:rsid w:val="006C6D0D"/>
    <w:rsid w:val="007148C5"/>
    <w:rsid w:val="008E5A63"/>
    <w:rsid w:val="009333BB"/>
    <w:rsid w:val="00A7337A"/>
    <w:rsid w:val="00A74A64"/>
    <w:rsid w:val="00CA0DB5"/>
    <w:rsid w:val="00D019A6"/>
    <w:rsid w:val="00D05828"/>
    <w:rsid w:val="00D27203"/>
    <w:rsid w:val="00E23BED"/>
    <w:rsid w:val="00E8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3BED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5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5A6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3BED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5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5A6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96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Area GENERALE 10</vt:lpstr>
    </vt:vector>
  </TitlesOfParts>
  <Company>Hewlett-Packard Company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GENERALE 10</dc:title>
  <dc:creator>Natalina Baule</dc:creator>
  <cp:lastModifiedBy>Natalina Baule</cp:lastModifiedBy>
  <cp:revision>2</cp:revision>
  <cp:lastPrinted>2018-01-31T10:49:00Z</cp:lastPrinted>
  <dcterms:created xsi:type="dcterms:W3CDTF">2018-01-31T10:49:00Z</dcterms:created>
  <dcterms:modified xsi:type="dcterms:W3CDTF">2018-01-31T10:49:00Z</dcterms:modified>
</cp:coreProperties>
</file>